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D8F0" w14:textId="77777777" w:rsidR="00B405F7" w:rsidRPr="00B405F7" w:rsidRDefault="00B405F7" w:rsidP="00B405F7">
      <w:pPr>
        <w:jc w:val="center"/>
        <w:rPr>
          <w:rFonts w:ascii="Sansation" w:hAnsi="Sansation"/>
          <w:color w:val="0389C1"/>
          <w:sz w:val="36"/>
          <w:szCs w:val="36"/>
        </w:rPr>
      </w:pPr>
      <w:r w:rsidRPr="00B405F7">
        <w:rPr>
          <w:rFonts w:ascii="Sansation" w:hAnsi="Sansation"/>
          <w:b/>
          <w:noProof/>
          <w:color w:val="69B42E"/>
          <w:sz w:val="36"/>
          <w:szCs w:val="36"/>
        </w:rPr>
        <w:drawing>
          <wp:anchor distT="0" distB="0" distL="114300" distR="114300" simplePos="0" relativeHeight="251658240" behindDoc="1" locked="0" layoutInCell="1" allowOverlap="1" wp14:anchorId="4F93216F" wp14:editId="08E867F5">
            <wp:simplePos x="0" y="0"/>
            <wp:positionH relativeFrom="column">
              <wp:posOffset>-428625</wp:posOffset>
            </wp:positionH>
            <wp:positionV relativeFrom="paragraph">
              <wp:posOffset>-514350</wp:posOffset>
            </wp:positionV>
            <wp:extent cx="1428430" cy="1247775"/>
            <wp:effectExtent l="0" t="0" r="635" b="0"/>
            <wp:wrapNone/>
            <wp:docPr id="1" name="Image 1" descr="Z:\LOGOTHEQUE\CCN logos\CCN_LOGO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THEQUE\CCN logos\CCN_LOGO sans fo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4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5F7">
        <w:rPr>
          <w:rFonts w:ascii="Sansation" w:hAnsi="Sansation"/>
          <w:color w:val="0389C1"/>
          <w:sz w:val="36"/>
          <w:szCs w:val="36"/>
        </w:rPr>
        <w:t xml:space="preserve">Premier Réinventer Rural </w:t>
      </w:r>
    </w:p>
    <w:p w14:paraId="00000001" w14:textId="417F3E17" w:rsidR="003B3B00" w:rsidRPr="00B405F7" w:rsidRDefault="00B405F7" w:rsidP="00B405F7">
      <w:pPr>
        <w:jc w:val="center"/>
        <w:rPr>
          <w:rFonts w:ascii="Sansation" w:hAnsi="Sansation"/>
          <w:color w:val="0389C1"/>
          <w:sz w:val="30"/>
          <w:szCs w:val="30"/>
        </w:rPr>
      </w:pPr>
      <w:r w:rsidRPr="00B405F7">
        <w:rPr>
          <w:rFonts w:ascii="Sansation" w:hAnsi="Sansation"/>
          <w:color w:val="0389C1"/>
          <w:sz w:val="36"/>
          <w:szCs w:val="36"/>
        </w:rPr>
        <w:t>Questions Réponses</w:t>
      </w:r>
    </w:p>
    <w:p w14:paraId="00000002" w14:textId="77777777" w:rsidR="003B3B00" w:rsidRDefault="003B3B00">
      <w:pPr>
        <w:rPr>
          <w:sz w:val="20"/>
          <w:szCs w:val="20"/>
        </w:rPr>
      </w:pPr>
    </w:p>
    <w:p w14:paraId="1F15AA8D" w14:textId="77777777" w:rsidR="00B405F7" w:rsidRDefault="00B405F7">
      <w:pPr>
        <w:rPr>
          <w:rFonts w:ascii="Sansation" w:hAnsi="Sansation"/>
          <w:b/>
          <w:color w:val="69B42E"/>
          <w:sz w:val="24"/>
          <w:szCs w:val="24"/>
        </w:rPr>
      </w:pPr>
    </w:p>
    <w:p w14:paraId="2ADDCAAE" w14:textId="77777777" w:rsidR="00B405F7" w:rsidRDefault="00B405F7">
      <w:pPr>
        <w:rPr>
          <w:rFonts w:ascii="Sansation" w:hAnsi="Sansation"/>
          <w:b/>
          <w:color w:val="69B42E"/>
          <w:sz w:val="24"/>
          <w:szCs w:val="24"/>
        </w:rPr>
      </w:pPr>
    </w:p>
    <w:p w14:paraId="1A1769C9" w14:textId="77777777" w:rsidR="00B405F7" w:rsidRDefault="00B405F7">
      <w:pPr>
        <w:rPr>
          <w:rFonts w:ascii="Sansation" w:hAnsi="Sansation"/>
          <w:b/>
          <w:color w:val="69B42E"/>
          <w:sz w:val="24"/>
          <w:szCs w:val="24"/>
        </w:rPr>
      </w:pPr>
    </w:p>
    <w:p w14:paraId="747AE9DF" w14:textId="77777777" w:rsidR="00B405F7" w:rsidRDefault="00B405F7">
      <w:pPr>
        <w:rPr>
          <w:rFonts w:ascii="Sansation" w:hAnsi="Sansation"/>
          <w:b/>
          <w:color w:val="69B42E"/>
          <w:sz w:val="24"/>
          <w:szCs w:val="24"/>
        </w:rPr>
      </w:pPr>
      <w:bookmarkStart w:id="0" w:name="_GoBack"/>
      <w:bookmarkEnd w:id="0"/>
    </w:p>
    <w:p w14:paraId="64774C79" w14:textId="77777777" w:rsidR="00B405F7" w:rsidRDefault="00B405F7">
      <w:pPr>
        <w:rPr>
          <w:rFonts w:ascii="Sansation" w:hAnsi="Sansation"/>
          <w:b/>
          <w:color w:val="69B42E"/>
          <w:sz w:val="24"/>
          <w:szCs w:val="24"/>
        </w:rPr>
      </w:pPr>
    </w:p>
    <w:p w14:paraId="00000003" w14:textId="2A6AF64A" w:rsidR="003B3B00" w:rsidRPr="00B405F7" w:rsidRDefault="00B405F7">
      <w:pPr>
        <w:rPr>
          <w:rFonts w:ascii="Sansation" w:hAnsi="Sansation"/>
          <w:b/>
          <w:color w:val="69B42E"/>
          <w:sz w:val="24"/>
          <w:szCs w:val="24"/>
        </w:rPr>
      </w:pPr>
      <w:r w:rsidRPr="00B405F7">
        <w:rPr>
          <w:rFonts w:ascii="Sansation" w:hAnsi="Sansation"/>
          <w:b/>
          <w:color w:val="69B42E"/>
          <w:sz w:val="24"/>
          <w:szCs w:val="24"/>
        </w:rPr>
        <w:t xml:space="preserve">Questionnement des candidats : </w:t>
      </w:r>
    </w:p>
    <w:p w14:paraId="00000004" w14:textId="77777777" w:rsidR="003B3B00" w:rsidRDefault="003B3B00">
      <w:pPr>
        <w:rPr>
          <w:sz w:val="20"/>
          <w:szCs w:val="20"/>
        </w:rPr>
      </w:pPr>
    </w:p>
    <w:p w14:paraId="00000005" w14:textId="77777777" w:rsidR="003B3B00" w:rsidRPr="00B405F7" w:rsidRDefault="00B405F7">
      <w:pPr>
        <w:rPr>
          <w:b/>
          <w:sz w:val="20"/>
          <w:szCs w:val="20"/>
        </w:rPr>
      </w:pPr>
      <w:r w:rsidRPr="00B405F7">
        <w:rPr>
          <w:b/>
          <w:sz w:val="20"/>
          <w:szCs w:val="20"/>
        </w:rPr>
        <w:t xml:space="preserve">Nozay, Zac du Châtelet : </w:t>
      </w:r>
    </w:p>
    <w:p w14:paraId="00000006" w14:textId="77777777" w:rsidR="003B3B00" w:rsidRDefault="003B3B00">
      <w:pPr>
        <w:rPr>
          <w:sz w:val="20"/>
          <w:szCs w:val="20"/>
        </w:rPr>
      </w:pPr>
    </w:p>
    <w:p w14:paraId="00000007" w14:textId="77777777" w:rsidR="003B3B00" w:rsidRDefault="00B405F7">
      <w:pPr>
        <w:rPr>
          <w:sz w:val="20"/>
          <w:szCs w:val="20"/>
        </w:rPr>
      </w:pPr>
      <w:r>
        <w:rPr>
          <w:sz w:val="20"/>
          <w:szCs w:val="20"/>
        </w:rPr>
        <w:t xml:space="preserve">&gt; Quels sont les liens avec l’aménageur </w:t>
      </w:r>
      <w:proofErr w:type="spellStart"/>
      <w:r>
        <w:rPr>
          <w:sz w:val="20"/>
          <w:szCs w:val="20"/>
        </w:rPr>
        <w:t>Vivaprom</w:t>
      </w:r>
      <w:proofErr w:type="spellEnd"/>
      <w:r>
        <w:rPr>
          <w:sz w:val="20"/>
          <w:szCs w:val="20"/>
        </w:rPr>
        <w:t xml:space="preserve"> du groupe </w:t>
      </w:r>
      <w:proofErr w:type="spellStart"/>
      <w:r>
        <w:rPr>
          <w:sz w:val="20"/>
          <w:szCs w:val="20"/>
        </w:rPr>
        <w:t>Claimo</w:t>
      </w:r>
      <w:proofErr w:type="spellEnd"/>
      <w:r>
        <w:rPr>
          <w:sz w:val="20"/>
          <w:szCs w:val="20"/>
        </w:rPr>
        <w:t xml:space="preserve"> ? Comment les relations s’articulent-elles ? les Architectes doivent-ils faire le lien directement avec l’aménageur ? </w:t>
      </w:r>
    </w:p>
    <w:p w14:paraId="00000008" w14:textId="77777777" w:rsidR="003B3B00" w:rsidRPr="00B405F7" w:rsidRDefault="00B405F7">
      <w:pPr>
        <w:rPr>
          <w:color w:val="0389C1"/>
          <w:sz w:val="20"/>
          <w:szCs w:val="20"/>
        </w:rPr>
      </w:pPr>
      <w:r w:rsidRPr="00B405F7">
        <w:rPr>
          <w:color w:val="0389C1"/>
          <w:sz w:val="20"/>
          <w:szCs w:val="20"/>
        </w:rPr>
        <w:t>Les architectes souhaitant répondre au site de la Zac du Châtelet peuve</w:t>
      </w:r>
      <w:r w:rsidRPr="00B405F7">
        <w:rPr>
          <w:color w:val="0389C1"/>
          <w:sz w:val="20"/>
          <w:szCs w:val="20"/>
        </w:rPr>
        <w:t xml:space="preserve">nt contacter directement l’aménageur </w:t>
      </w:r>
      <w:proofErr w:type="spellStart"/>
      <w:r w:rsidRPr="00B405F7">
        <w:rPr>
          <w:color w:val="0389C1"/>
          <w:sz w:val="20"/>
          <w:szCs w:val="20"/>
        </w:rPr>
        <w:t>Claimo</w:t>
      </w:r>
      <w:proofErr w:type="spellEnd"/>
      <w:r w:rsidRPr="00B405F7">
        <w:rPr>
          <w:color w:val="0389C1"/>
          <w:sz w:val="20"/>
          <w:szCs w:val="20"/>
        </w:rPr>
        <w:t xml:space="preserve">. </w:t>
      </w:r>
    </w:p>
    <w:p w14:paraId="00000009" w14:textId="77777777" w:rsidR="003B3B00" w:rsidRDefault="003B3B00">
      <w:pPr>
        <w:rPr>
          <w:sz w:val="20"/>
          <w:szCs w:val="20"/>
        </w:rPr>
      </w:pPr>
    </w:p>
    <w:p w14:paraId="0000000A" w14:textId="77777777" w:rsidR="003B3B00" w:rsidRDefault="00B405F7">
      <w:pPr>
        <w:rPr>
          <w:sz w:val="20"/>
          <w:szCs w:val="20"/>
        </w:rPr>
      </w:pPr>
      <w:r>
        <w:rPr>
          <w:sz w:val="20"/>
          <w:szCs w:val="20"/>
        </w:rPr>
        <w:t>&gt; Quid des propositions de charges foncières ?</w:t>
      </w:r>
    </w:p>
    <w:p w14:paraId="0000000B" w14:textId="77777777" w:rsidR="003B3B00" w:rsidRPr="00B405F7" w:rsidRDefault="00B405F7">
      <w:pPr>
        <w:rPr>
          <w:color w:val="0389C1"/>
          <w:sz w:val="20"/>
          <w:szCs w:val="20"/>
        </w:rPr>
      </w:pPr>
      <w:r w:rsidRPr="00B405F7">
        <w:rPr>
          <w:color w:val="0389C1"/>
          <w:sz w:val="20"/>
          <w:szCs w:val="20"/>
        </w:rPr>
        <w:t xml:space="preserve">Sur ce site, il n’y a pas d’indication de la charge foncière, elle est laissée libre au candidat en fonction du projet développé. </w:t>
      </w:r>
    </w:p>
    <w:p w14:paraId="0000000C" w14:textId="77777777" w:rsidR="003B3B00" w:rsidRDefault="003B3B00">
      <w:pPr>
        <w:rPr>
          <w:sz w:val="20"/>
          <w:szCs w:val="20"/>
        </w:rPr>
      </w:pPr>
    </w:p>
    <w:p w14:paraId="0000000D" w14:textId="77777777" w:rsidR="003B3B00" w:rsidRDefault="00B405F7">
      <w:pPr>
        <w:rPr>
          <w:sz w:val="20"/>
          <w:szCs w:val="20"/>
        </w:rPr>
      </w:pPr>
      <w:r>
        <w:rPr>
          <w:sz w:val="20"/>
          <w:szCs w:val="20"/>
        </w:rPr>
        <w:t>&gt; Est-ce obligatoire de se gro</w:t>
      </w:r>
      <w:r>
        <w:rPr>
          <w:sz w:val="20"/>
          <w:szCs w:val="20"/>
        </w:rPr>
        <w:t xml:space="preserve">uper avec un constructeur ? </w:t>
      </w:r>
    </w:p>
    <w:p w14:paraId="0000000E" w14:textId="77777777" w:rsidR="003B3B00" w:rsidRPr="00B405F7" w:rsidRDefault="00B405F7">
      <w:pPr>
        <w:rPr>
          <w:color w:val="0389C1"/>
          <w:sz w:val="20"/>
          <w:szCs w:val="20"/>
        </w:rPr>
      </w:pPr>
      <w:r w:rsidRPr="00B405F7">
        <w:rPr>
          <w:color w:val="0389C1"/>
          <w:sz w:val="20"/>
          <w:szCs w:val="20"/>
        </w:rPr>
        <w:t xml:space="preserve">Ce n’est pas obligatoire mais conseillé. </w:t>
      </w:r>
    </w:p>
    <w:p w14:paraId="0000000F" w14:textId="77777777" w:rsidR="003B3B00" w:rsidRDefault="003B3B00">
      <w:pPr>
        <w:rPr>
          <w:sz w:val="20"/>
          <w:szCs w:val="20"/>
        </w:rPr>
      </w:pPr>
    </w:p>
    <w:p w14:paraId="00000010" w14:textId="77777777" w:rsidR="003B3B00" w:rsidRDefault="00B405F7">
      <w:pPr>
        <w:rPr>
          <w:sz w:val="20"/>
          <w:szCs w:val="20"/>
        </w:rPr>
      </w:pPr>
      <w:r>
        <w:rPr>
          <w:sz w:val="20"/>
          <w:szCs w:val="20"/>
        </w:rPr>
        <w:t>&gt; Où se situe précisément la parcelle dédiée au premier réinventer rural ? Est-il possible d’obtenir un bon plan de délimitation de la surface objet de l’appel à projet ?</w:t>
      </w:r>
    </w:p>
    <w:p w14:paraId="00000011" w14:textId="77777777" w:rsidR="003B3B00" w:rsidRPr="00B405F7" w:rsidRDefault="00B405F7">
      <w:pPr>
        <w:rPr>
          <w:color w:val="0389C1"/>
          <w:sz w:val="20"/>
          <w:szCs w:val="20"/>
        </w:rPr>
      </w:pPr>
      <w:r w:rsidRPr="00B405F7">
        <w:rPr>
          <w:color w:val="0389C1"/>
          <w:sz w:val="20"/>
          <w:szCs w:val="20"/>
        </w:rPr>
        <w:t xml:space="preserve">Sur ce site, </w:t>
      </w:r>
      <w:r w:rsidRPr="00B405F7">
        <w:rPr>
          <w:color w:val="0389C1"/>
          <w:sz w:val="20"/>
          <w:szCs w:val="20"/>
        </w:rPr>
        <w:t>la première tranche n’est délimitée précisément, il est laissé libre au candidat de faire une proposition d’implantation. Les élus ont cependant indiqué, lors de la visite du site, qu’une localisation préférentielle serait entre la route d’Abbaretz et le c</w:t>
      </w:r>
      <w:r w:rsidRPr="00B405F7">
        <w:rPr>
          <w:color w:val="0389C1"/>
          <w:sz w:val="20"/>
          <w:szCs w:val="20"/>
        </w:rPr>
        <w:t xml:space="preserve">hemin rural (base du triangle) </w:t>
      </w:r>
    </w:p>
    <w:p w14:paraId="00000012" w14:textId="77777777" w:rsidR="003B3B00" w:rsidRDefault="003B3B00">
      <w:pPr>
        <w:rPr>
          <w:sz w:val="20"/>
          <w:szCs w:val="20"/>
        </w:rPr>
      </w:pPr>
    </w:p>
    <w:p w14:paraId="00000013" w14:textId="77777777" w:rsidR="003B3B00" w:rsidRDefault="00B405F7">
      <w:pPr>
        <w:rPr>
          <w:sz w:val="20"/>
          <w:szCs w:val="20"/>
        </w:rPr>
      </w:pPr>
      <w:r>
        <w:rPr>
          <w:sz w:val="20"/>
          <w:szCs w:val="20"/>
        </w:rPr>
        <w:t xml:space="preserve">&gt; Quelle est la surface sur laquelle travailler ? </w:t>
      </w:r>
    </w:p>
    <w:p w14:paraId="00000014" w14:textId="77777777" w:rsidR="003B3B00" w:rsidRPr="00B405F7" w:rsidRDefault="00B405F7">
      <w:pPr>
        <w:rPr>
          <w:color w:val="0389C1"/>
          <w:sz w:val="20"/>
          <w:szCs w:val="20"/>
        </w:rPr>
      </w:pPr>
      <w:r w:rsidRPr="00B405F7">
        <w:rPr>
          <w:color w:val="0389C1"/>
          <w:sz w:val="20"/>
          <w:szCs w:val="20"/>
        </w:rPr>
        <w:t xml:space="preserve">Comme indiqué dans le cahier des charges, la surface dédiée est de 2400 m2. </w:t>
      </w:r>
    </w:p>
    <w:p w14:paraId="00000015" w14:textId="77777777" w:rsidR="003B3B00" w:rsidRDefault="003B3B00">
      <w:pPr>
        <w:rPr>
          <w:sz w:val="20"/>
          <w:szCs w:val="20"/>
        </w:rPr>
      </w:pPr>
    </w:p>
    <w:p w14:paraId="00000016" w14:textId="77777777" w:rsidR="003B3B00" w:rsidRDefault="00B405F7">
      <w:pPr>
        <w:rPr>
          <w:sz w:val="20"/>
          <w:szCs w:val="20"/>
        </w:rPr>
      </w:pPr>
      <w:r>
        <w:rPr>
          <w:sz w:val="20"/>
          <w:szCs w:val="20"/>
        </w:rPr>
        <w:t xml:space="preserve">&gt; Le site de la ZAC du Chatelet et le Garage Toulou sont-ils des sites en binômes ? </w:t>
      </w:r>
    </w:p>
    <w:p w14:paraId="00000017" w14:textId="26FA265D" w:rsidR="003B3B00" w:rsidRPr="00B405F7" w:rsidRDefault="00B405F7">
      <w:pPr>
        <w:rPr>
          <w:color w:val="0389C1"/>
          <w:sz w:val="20"/>
          <w:szCs w:val="20"/>
        </w:rPr>
      </w:pPr>
      <w:r w:rsidRPr="00B405F7">
        <w:rPr>
          <w:color w:val="0389C1"/>
          <w:sz w:val="20"/>
          <w:szCs w:val="20"/>
        </w:rPr>
        <w:t>Comme ind</w:t>
      </w:r>
      <w:r w:rsidRPr="00B405F7">
        <w:rPr>
          <w:color w:val="0389C1"/>
          <w:sz w:val="20"/>
          <w:szCs w:val="20"/>
        </w:rPr>
        <w:t>iqué dans le cahier des charges les deux sites ne sont pas en binôme. Cela signifie que deux groupement</w:t>
      </w:r>
      <w:r>
        <w:rPr>
          <w:color w:val="0389C1"/>
          <w:sz w:val="20"/>
          <w:szCs w:val="20"/>
        </w:rPr>
        <w:t>s</w:t>
      </w:r>
      <w:r w:rsidRPr="00B405F7">
        <w:rPr>
          <w:color w:val="0389C1"/>
          <w:sz w:val="20"/>
          <w:szCs w:val="20"/>
        </w:rPr>
        <w:t xml:space="preserve"> distincts sont attendus sur les sites de Nozay.</w:t>
      </w:r>
    </w:p>
    <w:p w14:paraId="00000018" w14:textId="77777777" w:rsidR="003B3B00" w:rsidRDefault="003B3B00">
      <w:pPr>
        <w:rPr>
          <w:sz w:val="20"/>
          <w:szCs w:val="20"/>
        </w:rPr>
      </w:pPr>
    </w:p>
    <w:p w14:paraId="7F3ECDC8" w14:textId="77777777" w:rsidR="00B405F7" w:rsidRDefault="00B405F7">
      <w:pPr>
        <w:rPr>
          <w:rFonts w:ascii="Sansation" w:hAnsi="Sansation"/>
          <w:b/>
          <w:color w:val="69B42E"/>
          <w:sz w:val="24"/>
          <w:szCs w:val="24"/>
        </w:rPr>
      </w:pPr>
    </w:p>
    <w:p w14:paraId="7FDCBA4A" w14:textId="77777777" w:rsidR="00B405F7" w:rsidRDefault="00B405F7">
      <w:pPr>
        <w:rPr>
          <w:rFonts w:ascii="Sansation" w:hAnsi="Sansation"/>
          <w:b/>
          <w:color w:val="69B42E"/>
          <w:sz w:val="24"/>
          <w:szCs w:val="24"/>
        </w:rPr>
      </w:pPr>
    </w:p>
    <w:p w14:paraId="236D9EAD" w14:textId="77777777" w:rsidR="00B405F7" w:rsidRDefault="00B405F7">
      <w:pPr>
        <w:rPr>
          <w:rFonts w:ascii="Sansation" w:hAnsi="Sansation"/>
          <w:b/>
          <w:color w:val="69B42E"/>
          <w:sz w:val="24"/>
          <w:szCs w:val="24"/>
        </w:rPr>
      </w:pPr>
    </w:p>
    <w:p w14:paraId="56BD771F" w14:textId="77777777" w:rsidR="00B405F7" w:rsidRDefault="00B405F7">
      <w:pPr>
        <w:rPr>
          <w:rFonts w:ascii="Sansation" w:hAnsi="Sansation"/>
          <w:b/>
          <w:color w:val="69B42E"/>
          <w:sz w:val="24"/>
          <w:szCs w:val="24"/>
        </w:rPr>
      </w:pPr>
    </w:p>
    <w:p w14:paraId="509809F3" w14:textId="77777777" w:rsidR="00B405F7" w:rsidRDefault="00B405F7">
      <w:pPr>
        <w:rPr>
          <w:rFonts w:ascii="Sansation" w:hAnsi="Sansation"/>
          <w:b/>
          <w:color w:val="69B42E"/>
          <w:sz w:val="24"/>
          <w:szCs w:val="24"/>
        </w:rPr>
      </w:pPr>
    </w:p>
    <w:p w14:paraId="09A5AEFA" w14:textId="77777777" w:rsidR="00B405F7" w:rsidRDefault="00B405F7">
      <w:pPr>
        <w:rPr>
          <w:rFonts w:ascii="Sansation" w:hAnsi="Sansation"/>
          <w:b/>
          <w:color w:val="69B42E"/>
          <w:sz w:val="24"/>
          <w:szCs w:val="24"/>
        </w:rPr>
      </w:pPr>
    </w:p>
    <w:p w14:paraId="280A3366" w14:textId="77777777" w:rsidR="00B405F7" w:rsidRDefault="00B405F7">
      <w:pPr>
        <w:rPr>
          <w:rFonts w:ascii="Sansation" w:hAnsi="Sansation"/>
          <w:b/>
          <w:color w:val="69B42E"/>
          <w:sz w:val="24"/>
          <w:szCs w:val="24"/>
        </w:rPr>
      </w:pPr>
    </w:p>
    <w:p w14:paraId="25369236" w14:textId="77777777" w:rsidR="00B405F7" w:rsidRDefault="00B405F7">
      <w:pPr>
        <w:rPr>
          <w:rFonts w:ascii="Sansation" w:hAnsi="Sansation"/>
          <w:b/>
          <w:color w:val="69B42E"/>
          <w:sz w:val="24"/>
          <w:szCs w:val="24"/>
        </w:rPr>
      </w:pPr>
    </w:p>
    <w:p w14:paraId="7ABB64D9" w14:textId="77777777" w:rsidR="00B405F7" w:rsidRDefault="00B405F7">
      <w:pPr>
        <w:rPr>
          <w:rFonts w:ascii="Sansation" w:hAnsi="Sansation"/>
          <w:b/>
          <w:color w:val="69B42E"/>
          <w:sz w:val="24"/>
          <w:szCs w:val="24"/>
        </w:rPr>
      </w:pPr>
    </w:p>
    <w:p w14:paraId="0E288192" w14:textId="77777777" w:rsidR="00B405F7" w:rsidRDefault="00B405F7">
      <w:pPr>
        <w:rPr>
          <w:rFonts w:ascii="Sansation" w:hAnsi="Sansation"/>
          <w:b/>
          <w:color w:val="69B42E"/>
          <w:sz w:val="24"/>
          <w:szCs w:val="24"/>
        </w:rPr>
      </w:pPr>
    </w:p>
    <w:p w14:paraId="5F563F3C" w14:textId="77777777" w:rsidR="00B405F7" w:rsidRDefault="00B405F7">
      <w:pPr>
        <w:rPr>
          <w:rFonts w:ascii="Sansation" w:hAnsi="Sansation"/>
          <w:b/>
          <w:color w:val="69B42E"/>
          <w:sz w:val="24"/>
          <w:szCs w:val="24"/>
        </w:rPr>
      </w:pPr>
    </w:p>
    <w:p w14:paraId="00000019" w14:textId="3B42FEB6" w:rsidR="003B3B00" w:rsidRPr="00B405F7" w:rsidRDefault="00B405F7">
      <w:pPr>
        <w:rPr>
          <w:rFonts w:ascii="Sansation" w:hAnsi="Sansation"/>
          <w:color w:val="69B42E"/>
          <w:sz w:val="24"/>
          <w:szCs w:val="24"/>
        </w:rPr>
      </w:pPr>
      <w:r w:rsidRPr="00B405F7">
        <w:rPr>
          <w:rFonts w:ascii="Sansation" w:hAnsi="Sansation"/>
          <w:b/>
          <w:color w:val="69B42E"/>
          <w:sz w:val="24"/>
          <w:szCs w:val="24"/>
        </w:rPr>
        <w:t xml:space="preserve">Questionnement des habitants : </w:t>
      </w:r>
    </w:p>
    <w:p w14:paraId="0000001A" w14:textId="77777777" w:rsidR="003B3B00" w:rsidRDefault="003B3B00">
      <w:pPr>
        <w:rPr>
          <w:sz w:val="20"/>
          <w:szCs w:val="20"/>
        </w:rPr>
      </w:pPr>
    </w:p>
    <w:p w14:paraId="0000001B" w14:textId="7C3B0BBE" w:rsidR="003B3B00" w:rsidRPr="00B405F7" w:rsidRDefault="00B405F7">
      <w:pPr>
        <w:rPr>
          <w:sz w:val="20"/>
          <w:szCs w:val="20"/>
        </w:rPr>
      </w:pPr>
      <w:r w:rsidRPr="00B405F7">
        <w:rPr>
          <w:sz w:val="20"/>
          <w:szCs w:val="20"/>
        </w:rPr>
        <w:t xml:space="preserve">Remplir le formulaire sur le site de la </w:t>
      </w:r>
      <w:r>
        <w:rPr>
          <w:sz w:val="20"/>
          <w:szCs w:val="20"/>
        </w:rPr>
        <w:t>C</w:t>
      </w:r>
      <w:r w:rsidRPr="00B405F7">
        <w:rPr>
          <w:sz w:val="20"/>
          <w:szCs w:val="20"/>
        </w:rPr>
        <w:t xml:space="preserve">ommunauté de </w:t>
      </w:r>
      <w:r>
        <w:rPr>
          <w:sz w:val="20"/>
          <w:szCs w:val="20"/>
        </w:rPr>
        <w:t>C</w:t>
      </w:r>
      <w:r w:rsidRPr="00B405F7">
        <w:rPr>
          <w:sz w:val="20"/>
          <w:szCs w:val="20"/>
        </w:rPr>
        <w:t>ommunes de Noza</w:t>
      </w:r>
      <w:r w:rsidRPr="00B405F7">
        <w:rPr>
          <w:sz w:val="20"/>
          <w:szCs w:val="20"/>
        </w:rPr>
        <w:t xml:space="preserve">y vise à faire émerger : </w:t>
      </w:r>
    </w:p>
    <w:p w14:paraId="0000001C" w14:textId="77777777" w:rsidR="003B3B00" w:rsidRPr="00B405F7" w:rsidRDefault="00B405F7">
      <w:pPr>
        <w:spacing w:before="120" w:line="240" w:lineRule="auto"/>
        <w:rPr>
          <w:color w:val="0389C1"/>
          <w:sz w:val="20"/>
          <w:szCs w:val="20"/>
        </w:rPr>
      </w:pPr>
      <w:r w:rsidRPr="00B405F7">
        <w:rPr>
          <w:color w:val="0389C1"/>
          <w:sz w:val="20"/>
          <w:szCs w:val="20"/>
        </w:rPr>
        <w:t xml:space="preserve">&gt; des futurs habitants, intéressés pour vivre dans les futurs projets d’habitat innovant. Les personnes qui répondent aux questions seront mises en relation avec les lauréats de l’appel à projet. </w:t>
      </w:r>
    </w:p>
    <w:p w14:paraId="0000001D" w14:textId="77777777" w:rsidR="003B3B00" w:rsidRPr="00B405F7" w:rsidRDefault="00B405F7">
      <w:pPr>
        <w:spacing w:before="120" w:line="240" w:lineRule="auto"/>
        <w:rPr>
          <w:color w:val="0389C1"/>
          <w:sz w:val="20"/>
          <w:szCs w:val="20"/>
        </w:rPr>
      </w:pPr>
      <w:r w:rsidRPr="00B405F7">
        <w:rPr>
          <w:color w:val="0389C1"/>
          <w:sz w:val="20"/>
          <w:szCs w:val="20"/>
        </w:rPr>
        <w:t>&gt; des idées qui seront soumises aux opérateurs lors de l’atelier de travail de sélection des lauréats.</w:t>
      </w:r>
    </w:p>
    <w:p w14:paraId="0000001E" w14:textId="77777777" w:rsidR="003B3B00" w:rsidRDefault="003B3B00">
      <w:pPr>
        <w:spacing w:before="120" w:line="240" w:lineRule="auto"/>
        <w:rPr>
          <w:color w:val="4A86E8"/>
          <w:sz w:val="20"/>
          <w:szCs w:val="20"/>
        </w:rPr>
      </w:pPr>
    </w:p>
    <w:p w14:paraId="00000020" w14:textId="77777777" w:rsidR="003B3B00" w:rsidRDefault="003B3B00">
      <w:pPr>
        <w:spacing w:before="120" w:line="240" w:lineRule="auto"/>
        <w:rPr>
          <w:color w:val="4A86E8"/>
          <w:sz w:val="20"/>
          <w:szCs w:val="20"/>
        </w:rPr>
      </w:pPr>
    </w:p>
    <w:p w14:paraId="00000021" w14:textId="77777777" w:rsidR="003B3B00" w:rsidRPr="00B405F7" w:rsidRDefault="00B405F7">
      <w:pPr>
        <w:spacing w:before="120" w:line="240" w:lineRule="auto"/>
        <w:rPr>
          <w:sz w:val="20"/>
          <w:szCs w:val="20"/>
        </w:rPr>
      </w:pPr>
      <w:r w:rsidRPr="00B405F7">
        <w:rPr>
          <w:sz w:val="20"/>
          <w:szCs w:val="20"/>
        </w:rPr>
        <w:t>Proposition de réponse plus ciblé à l’habitant :</w:t>
      </w:r>
    </w:p>
    <w:p w14:paraId="00000022" w14:textId="77777777" w:rsidR="003B3B00" w:rsidRDefault="003B3B00">
      <w:pPr>
        <w:spacing w:before="120" w:line="240" w:lineRule="auto"/>
        <w:rPr>
          <w:color w:val="4A86E8"/>
          <w:sz w:val="20"/>
          <w:szCs w:val="20"/>
        </w:rPr>
      </w:pPr>
    </w:p>
    <w:p w14:paraId="00000023" w14:textId="77777777" w:rsidR="003B3B00" w:rsidRPr="00B405F7" w:rsidRDefault="00B405F7">
      <w:pPr>
        <w:spacing w:before="120" w:line="240" w:lineRule="auto"/>
        <w:rPr>
          <w:color w:val="0389C1"/>
          <w:sz w:val="20"/>
          <w:szCs w:val="20"/>
        </w:rPr>
      </w:pPr>
      <w:r w:rsidRPr="00B405F7">
        <w:rPr>
          <w:color w:val="0389C1"/>
          <w:sz w:val="20"/>
          <w:szCs w:val="20"/>
        </w:rPr>
        <w:t xml:space="preserve">Nous avons tenté de diriger les innovations tout en laissant une grande liberté d'interprétation </w:t>
      </w:r>
      <w:r w:rsidRPr="00B405F7">
        <w:rPr>
          <w:color w:val="0389C1"/>
          <w:sz w:val="20"/>
          <w:szCs w:val="20"/>
        </w:rPr>
        <w:t xml:space="preserve">: il s'agit d'un appel à projets, les élus ne peuvent rien imposer. Les projets retenus seront sélectionnés par l'ensemble des élus et par un collège de professionnel de la construction et du territoire. </w:t>
      </w:r>
    </w:p>
    <w:p w14:paraId="00000024" w14:textId="77777777" w:rsidR="003B3B00" w:rsidRPr="00B405F7" w:rsidRDefault="00B405F7">
      <w:pPr>
        <w:spacing w:before="120" w:line="240" w:lineRule="auto"/>
        <w:rPr>
          <w:color w:val="0389C1"/>
          <w:sz w:val="20"/>
          <w:szCs w:val="20"/>
        </w:rPr>
      </w:pPr>
      <w:r w:rsidRPr="00B405F7">
        <w:rPr>
          <w:color w:val="0389C1"/>
          <w:sz w:val="20"/>
          <w:szCs w:val="20"/>
        </w:rPr>
        <w:t>L'engagement en introduction du document a été sign</w:t>
      </w:r>
      <w:r w:rsidRPr="00B405F7">
        <w:rPr>
          <w:color w:val="0389C1"/>
          <w:sz w:val="20"/>
          <w:szCs w:val="20"/>
        </w:rPr>
        <w:t>é par l'ensemble des élus. S'engager pour des constructions durables faces aux urgences actuelles n'est pas une option : c'est l'essence même de l'appel à projets. Si les projets ne cherchent pas d'alternatives, ils ne pourront avoir leur place sur le terr</w:t>
      </w:r>
      <w:r w:rsidRPr="00B405F7">
        <w:rPr>
          <w:color w:val="0389C1"/>
          <w:sz w:val="20"/>
          <w:szCs w:val="20"/>
        </w:rPr>
        <w:t xml:space="preserve">itoire.  </w:t>
      </w:r>
    </w:p>
    <w:p w14:paraId="00000025" w14:textId="6F36E67A" w:rsidR="003B3B00" w:rsidRPr="00B405F7" w:rsidRDefault="00B405F7">
      <w:pPr>
        <w:spacing w:before="120" w:line="240" w:lineRule="auto"/>
        <w:rPr>
          <w:color w:val="0389C1"/>
          <w:sz w:val="20"/>
          <w:szCs w:val="20"/>
        </w:rPr>
      </w:pPr>
      <w:r w:rsidRPr="00B405F7">
        <w:rPr>
          <w:color w:val="0389C1"/>
          <w:sz w:val="20"/>
          <w:szCs w:val="20"/>
        </w:rPr>
        <w:t>Le but est d'accompagner la création de nouveaux logements tout en revenant à des fondamentaux : les relations de voisinages, l'entraide, l'inter</w:t>
      </w:r>
      <w:r w:rsidRPr="00B405F7">
        <w:rPr>
          <w:color w:val="0389C1"/>
          <w:sz w:val="20"/>
          <w:szCs w:val="20"/>
        </w:rPr>
        <w:t>générationnel, les espaces mutualisés, partagés..</w:t>
      </w:r>
      <w:r w:rsidRPr="00B405F7">
        <w:rPr>
          <w:color w:val="0389C1"/>
          <w:sz w:val="20"/>
          <w:szCs w:val="20"/>
        </w:rPr>
        <w:t xml:space="preserve">. Il s'agit de proposer une offre d'habiter qui </w:t>
      </w:r>
      <w:r w:rsidRPr="00B405F7">
        <w:rPr>
          <w:color w:val="0389C1"/>
          <w:sz w:val="20"/>
          <w:szCs w:val="20"/>
        </w:rPr>
        <w:t>tient compte de l'humain, du paysage et de l'environnement (stopper l'imperméabilisation excessive, ouvrir le dialogue aux habitants..</w:t>
      </w:r>
      <w:r w:rsidRPr="00B405F7">
        <w:rPr>
          <w:color w:val="0389C1"/>
          <w:sz w:val="20"/>
          <w:szCs w:val="20"/>
        </w:rPr>
        <w:t>.). La liste n'est pas exhaustive, les nouvelles manières d'habiter seront proposées</w:t>
      </w:r>
      <w:r w:rsidRPr="00B405F7">
        <w:rPr>
          <w:color w:val="0389C1"/>
          <w:sz w:val="20"/>
          <w:szCs w:val="20"/>
        </w:rPr>
        <w:t xml:space="preserve"> par les groupements.</w:t>
      </w:r>
    </w:p>
    <w:p w14:paraId="00000026" w14:textId="77777777" w:rsidR="003B3B00" w:rsidRPr="00B405F7" w:rsidRDefault="00B405F7">
      <w:pPr>
        <w:spacing w:before="120" w:line="240" w:lineRule="auto"/>
        <w:rPr>
          <w:color w:val="0389C1"/>
          <w:sz w:val="20"/>
          <w:szCs w:val="20"/>
        </w:rPr>
      </w:pPr>
      <w:r w:rsidRPr="00B405F7">
        <w:rPr>
          <w:color w:val="0389C1"/>
          <w:sz w:val="20"/>
          <w:szCs w:val="20"/>
        </w:rPr>
        <w:t>Nous étudierons</w:t>
      </w:r>
      <w:r w:rsidRPr="00B405F7">
        <w:rPr>
          <w:color w:val="0389C1"/>
          <w:sz w:val="20"/>
          <w:szCs w:val="20"/>
        </w:rPr>
        <w:t xml:space="preserve"> soigneusement chaque proposition et nous nous entretiendrons avec les finalistes afin de nous assurer de leur engagement.</w:t>
      </w:r>
    </w:p>
    <w:p w14:paraId="00000027" w14:textId="77777777" w:rsidR="003B3B00" w:rsidRDefault="003B3B00">
      <w:pPr>
        <w:rPr>
          <w:sz w:val="20"/>
          <w:szCs w:val="20"/>
        </w:rPr>
      </w:pPr>
    </w:p>
    <w:sectPr w:rsidR="003B3B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ation">
    <w:panose1 w:val="020000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00"/>
    <w:rsid w:val="003B3B00"/>
    <w:rsid w:val="00B40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CDF0"/>
  <w15:docId w15:val="{72091C76-FB56-434A-AAE9-D1298A9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B405F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2</cp:revision>
  <dcterms:created xsi:type="dcterms:W3CDTF">2019-05-13T12:05:00Z</dcterms:created>
  <dcterms:modified xsi:type="dcterms:W3CDTF">2019-05-13T12:05:00Z</dcterms:modified>
</cp:coreProperties>
</file>